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698"/>
        <w:gridCol w:w="2158"/>
        <w:gridCol w:w="2370"/>
        <w:gridCol w:w="2370"/>
        <w:gridCol w:w="2370"/>
        <w:gridCol w:w="2250"/>
      </w:tblGrid>
      <w:tr w:rsidR="008523AC" w:rsidRPr="00173337" w:rsidTr="00173337">
        <w:tc>
          <w:tcPr>
            <w:tcW w:w="732" w:type="pct"/>
            <w:vMerge w:val="restart"/>
          </w:tcPr>
          <w:p w:rsidR="008523AC" w:rsidRPr="00173337" w:rsidRDefault="008523AC" w:rsidP="008523AC">
            <w:pPr>
              <w:pStyle w:val="NormalBullet"/>
              <w:numPr>
                <w:ilvl w:val="0"/>
                <w:numId w:val="0"/>
              </w:numPr>
              <w:tabs>
                <w:tab w:val="clear" w:pos="397"/>
              </w:tabs>
              <w:rPr>
                <w:b/>
                <w:sz w:val="20"/>
                <w:szCs w:val="16"/>
              </w:rPr>
            </w:pPr>
            <w:r w:rsidRPr="00173337">
              <w:rPr>
                <w:b/>
                <w:sz w:val="20"/>
                <w:szCs w:val="16"/>
              </w:rPr>
              <w:t xml:space="preserve">OUTCOME </w:t>
            </w:r>
          </w:p>
          <w:p w:rsidR="008523AC" w:rsidRPr="00173337" w:rsidRDefault="008523AC" w:rsidP="008523AC">
            <w:pPr>
              <w:pStyle w:val="NormalBullet"/>
              <w:numPr>
                <w:ilvl w:val="0"/>
                <w:numId w:val="0"/>
              </w:numPr>
              <w:tabs>
                <w:tab w:val="clear" w:pos="397"/>
              </w:tabs>
              <w:rPr>
                <w:b/>
                <w:sz w:val="20"/>
                <w:szCs w:val="16"/>
              </w:rPr>
            </w:pPr>
            <w:r w:rsidRPr="00173337">
              <w:rPr>
                <w:b/>
                <w:sz w:val="20"/>
                <w:szCs w:val="16"/>
              </w:rPr>
              <w:t>in detail</w:t>
            </w:r>
          </w:p>
        </w:tc>
        <w:tc>
          <w:tcPr>
            <w:tcW w:w="4268" w:type="pct"/>
            <w:gridSpan w:val="6"/>
          </w:tcPr>
          <w:p w:rsidR="008523AC" w:rsidRPr="00173337" w:rsidRDefault="008523AC" w:rsidP="008523AC">
            <w:pPr>
              <w:pStyle w:val="NormalBullet"/>
              <w:numPr>
                <w:ilvl w:val="0"/>
                <w:numId w:val="0"/>
              </w:numPr>
              <w:jc w:val="center"/>
              <w:rPr>
                <w:b/>
                <w:sz w:val="20"/>
                <w:szCs w:val="16"/>
              </w:rPr>
            </w:pPr>
            <w:r w:rsidRPr="00173337">
              <w:rPr>
                <w:b/>
                <w:sz w:val="20"/>
                <w:szCs w:val="16"/>
              </w:rPr>
              <w:t>DESCRIPTOR</w:t>
            </w:r>
          </w:p>
        </w:tc>
      </w:tr>
      <w:tr w:rsidR="008523AC" w:rsidRPr="00173337" w:rsidTr="00173337">
        <w:tc>
          <w:tcPr>
            <w:tcW w:w="732" w:type="pct"/>
            <w:vMerge/>
          </w:tcPr>
          <w:p w:rsidR="008523AC" w:rsidRPr="00173337" w:rsidRDefault="008523AC" w:rsidP="008523AC">
            <w:pPr>
              <w:pStyle w:val="NormalBullet"/>
              <w:numPr>
                <w:ilvl w:val="0"/>
                <w:numId w:val="0"/>
              </w:numPr>
              <w:tabs>
                <w:tab w:val="clear" w:pos="397"/>
              </w:tabs>
              <w:rPr>
                <w:sz w:val="20"/>
                <w:szCs w:val="16"/>
              </w:rPr>
            </w:pPr>
          </w:p>
        </w:tc>
        <w:tc>
          <w:tcPr>
            <w:tcW w:w="244" w:type="pct"/>
          </w:tcPr>
          <w:p w:rsidR="008523AC" w:rsidRPr="00173337" w:rsidRDefault="008523AC" w:rsidP="008523AC">
            <w:pPr>
              <w:pStyle w:val="NormalBullet"/>
              <w:numPr>
                <w:ilvl w:val="0"/>
                <w:numId w:val="0"/>
              </w:numPr>
              <w:jc w:val="center"/>
              <w:rPr>
                <w:sz w:val="20"/>
                <w:szCs w:val="14"/>
              </w:rPr>
            </w:pPr>
          </w:p>
        </w:tc>
        <w:tc>
          <w:tcPr>
            <w:tcW w:w="754" w:type="pct"/>
          </w:tcPr>
          <w:p w:rsidR="008523AC" w:rsidRPr="00173337" w:rsidRDefault="008523AC" w:rsidP="008523AC">
            <w:pPr>
              <w:pStyle w:val="NormalBullet"/>
              <w:numPr>
                <w:ilvl w:val="0"/>
                <w:numId w:val="0"/>
              </w:numPr>
              <w:jc w:val="center"/>
              <w:rPr>
                <w:sz w:val="20"/>
                <w:szCs w:val="14"/>
              </w:rPr>
            </w:pPr>
            <w:r w:rsidRPr="00173337">
              <w:rPr>
                <w:sz w:val="20"/>
                <w:szCs w:val="14"/>
              </w:rPr>
              <w:t>1-2</w:t>
            </w:r>
          </w:p>
        </w:tc>
        <w:tc>
          <w:tcPr>
            <w:tcW w:w="828" w:type="pct"/>
          </w:tcPr>
          <w:p w:rsidR="008523AC" w:rsidRPr="00173337" w:rsidRDefault="008523AC" w:rsidP="008523AC">
            <w:pPr>
              <w:pStyle w:val="NormalBullet"/>
              <w:numPr>
                <w:ilvl w:val="0"/>
                <w:numId w:val="0"/>
              </w:numPr>
              <w:jc w:val="center"/>
              <w:rPr>
                <w:sz w:val="20"/>
                <w:szCs w:val="14"/>
              </w:rPr>
            </w:pPr>
            <w:r w:rsidRPr="00173337">
              <w:rPr>
                <w:sz w:val="20"/>
                <w:szCs w:val="14"/>
              </w:rPr>
              <w:t>3-4</w:t>
            </w:r>
          </w:p>
        </w:tc>
        <w:tc>
          <w:tcPr>
            <w:tcW w:w="828" w:type="pct"/>
          </w:tcPr>
          <w:p w:rsidR="008523AC" w:rsidRPr="00173337" w:rsidRDefault="008523AC" w:rsidP="008523AC">
            <w:pPr>
              <w:pStyle w:val="NormalBullet"/>
              <w:numPr>
                <w:ilvl w:val="0"/>
                <w:numId w:val="0"/>
              </w:numPr>
              <w:jc w:val="center"/>
              <w:rPr>
                <w:sz w:val="20"/>
                <w:szCs w:val="14"/>
              </w:rPr>
            </w:pPr>
            <w:r w:rsidRPr="00173337">
              <w:rPr>
                <w:sz w:val="20"/>
                <w:szCs w:val="14"/>
              </w:rPr>
              <w:t>5-6</w:t>
            </w:r>
          </w:p>
        </w:tc>
        <w:tc>
          <w:tcPr>
            <w:tcW w:w="828" w:type="pct"/>
          </w:tcPr>
          <w:p w:rsidR="008523AC" w:rsidRPr="00173337" w:rsidRDefault="008523AC" w:rsidP="008523AC">
            <w:pPr>
              <w:pStyle w:val="NormalBullet"/>
              <w:numPr>
                <w:ilvl w:val="0"/>
                <w:numId w:val="0"/>
              </w:numPr>
              <w:jc w:val="center"/>
              <w:rPr>
                <w:sz w:val="20"/>
                <w:szCs w:val="14"/>
              </w:rPr>
            </w:pPr>
            <w:r w:rsidRPr="00173337">
              <w:rPr>
                <w:sz w:val="20"/>
                <w:szCs w:val="14"/>
              </w:rPr>
              <w:t>7-8</w:t>
            </w:r>
          </w:p>
        </w:tc>
        <w:tc>
          <w:tcPr>
            <w:tcW w:w="786" w:type="pct"/>
          </w:tcPr>
          <w:p w:rsidR="008523AC" w:rsidRPr="00173337" w:rsidRDefault="008523AC" w:rsidP="008523AC">
            <w:pPr>
              <w:pStyle w:val="NormalBullet"/>
              <w:numPr>
                <w:ilvl w:val="0"/>
                <w:numId w:val="0"/>
              </w:numPr>
              <w:jc w:val="center"/>
              <w:rPr>
                <w:sz w:val="20"/>
                <w:szCs w:val="14"/>
              </w:rPr>
            </w:pPr>
            <w:r w:rsidRPr="00173337">
              <w:rPr>
                <w:sz w:val="20"/>
                <w:szCs w:val="14"/>
              </w:rPr>
              <w:t>9-10</w:t>
            </w:r>
          </w:p>
        </w:tc>
      </w:tr>
      <w:tr w:rsidR="008523AC" w:rsidRPr="00173337" w:rsidTr="00173337">
        <w:tc>
          <w:tcPr>
            <w:tcW w:w="732" w:type="pct"/>
          </w:tcPr>
          <w:p w:rsidR="008523AC" w:rsidRPr="00173337" w:rsidRDefault="008523AC" w:rsidP="008523AC">
            <w:pPr>
              <w:pStyle w:val="NormalBullet"/>
              <w:numPr>
                <w:ilvl w:val="0"/>
                <w:numId w:val="0"/>
              </w:numPr>
              <w:tabs>
                <w:tab w:val="clear" w:pos="397"/>
                <w:tab w:val="left" w:pos="360"/>
              </w:tabs>
              <w:rPr>
                <w:sz w:val="20"/>
                <w:szCs w:val="16"/>
              </w:rPr>
            </w:pPr>
            <w:r w:rsidRPr="00173337">
              <w:rPr>
                <w:sz w:val="20"/>
                <w:szCs w:val="16"/>
              </w:rPr>
              <w:t>identify reasons for maintaining continuity of religious beliefs</w:t>
            </w:r>
          </w:p>
          <w:p w:rsidR="008523AC" w:rsidRPr="00173337" w:rsidRDefault="008523AC" w:rsidP="008523AC">
            <w:pPr>
              <w:pStyle w:val="NormalBullet"/>
              <w:numPr>
                <w:ilvl w:val="0"/>
                <w:numId w:val="0"/>
              </w:numPr>
              <w:tabs>
                <w:tab w:val="clear" w:pos="397"/>
              </w:tabs>
              <w:rPr>
                <w:sz w:val="20"/>
                <w:szCs w:val="16"/>
              </w:rPr>
            </w:pPr>
          </w:p>
        </w:tc>
        <w:tc>
          <w:tcPr>
            <w:tcW w:w="244" w:type="pct"/>
            <w:vAlign w:val="center"/>
          </w:tcPr>
          <w:p w:rsidR="008523AC" w:rsidRPr="00173337" w:rsidRDefault="008523AC" w:rsidP="008523AC">
            <w:pPr>
              <w:pStyle w:val="NormalBullet"/>
              <w:numPr>
                <w:ilvl w:val="0"/>
                <w:numId w:val="0"/>
              </w:num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754" w:type="pct"/>
          </w:tcPr>
          <w:p w:rsidR="008523AC" w:rsidRPr="00173337" w:rsidRDefault="008523AC" w:rsidP="008523AC">
            <w:pPr>
              <w:pStyle w:val="NormalBullet"/>
              <w:numPr>
                <w:ilvl w:val="0"/>
                <w:numId w:val="0"/>
              </w:numPr>
              <w:spacing w:before="0"/>
              <w:rPr>
                <w:sz w:val="20"/>
                <w:szCs w:val="16"/>
              </w:rPr>
            </w:pPr>
            <w:r w:rsidRPr="00173337">
              <w:rPr>
                <w:sz w:val="20"/>
                <w:szCs w:val="16"/>
              </w:rPr>
              <w:t>Limited reasons for maintaining continuity of religious beliefs generally stated with no specific clarifying detail.</w:t>
            </w:r>
          </w:p>
        </w:tc>
        <w:tc>
          <w:tcPr>
            <w:tcW w:w="828" w:type="pct"/>
          </w:tcPr>
          <w:p w:rsidR="008523AC" w:rsidRPr="00173337" w:rsidRDefault="008523AC" w:rsidP="00173337">
            <w:pPr>
              <w:pStyle w:val="NormalBullet"/>
              <w:numPr>
                <w:ilvl w:val="0"/>
                <w:numId w:val="0"/>
              </w:numPr>
              <w:spacing w:before="0"/>
              <w:rPr>
                <w:sz w:val="20"/>
                <w:szCs w:val="16"/>
              </w:rPr>
            </w:pPr>
            <w:r w:rsidRPr="00173337">
              <w:rPr>
                <w:sz w:val="20"/>
                <w:szCs w:val="16"/>
              </w:rPr>
              <w:t xml:space="preserve">Restricted overview with some basic articulation of the reasons for maintaining continuity of religious beliefs </w:t>
            </w:r>
          </w:p>
        </w:tc>
        <w:tc>
          <w:tcPr>
            <w:tcW w:w="828" w:type="pct"/>
          </w:tcPr>
          <w:p w:rsidR="008523AC" w:rsidRPr="00173337" w:rsidRDefault="008523AC" w:rsidP="00173337">
            <w:pPr>
              <w:pStyle w:val="NormalBullet"/>
              <w:numPr>
                <w:ilvl w:val="0"/>
                <w:numId w:val="0"/>
              </w:numPr>
              <w:spacing w:before="0"/>
              <w:rPr>
                <w:sz w:val="20"/>
                <w:szCs w:val="16"/>
              </w:rPr>
            </w:pPr>
            <w:r w:rsidRPr="00173337">
              <w:rPr>
                <w:sz w:val="20"/>
                <w:szCs w:val="16"/>
              </w:rPr>
              <w:t xml:space="preserve">Broad overview with some clearly articulated reasons for maintaining continuity of religious beliefs </w:t>
            </w:r>
          </w:p>
        </w:tc>
        <w:tc>
          <w:tcPr>
            <w:tcW w:w="828" w:type="pct"/>
          </w:tcPr>
          <w:p w:rsidR="008523AC" w:rsidRPr="00173337" w:rsidRDefault="008523AC" w:rsidP="00173337">
            <w:pPr>
              <w:pStyle w:val="NormalBullet"/>
              <w:numPr>
                <w:ilvl w:val="0"/>
                <w:numId w:val="0"/>
              </w:numPr>
              <w:spacing w:before="0"/>
              <w:rPr>
                <w:sz w:val="20"/>
                <w:szCs w:val="16"/>
              </w:rPr>
            </w:pPr>
            <w:r w:rsidRPr="00173337">
              <w:rPr>
                <w:sz w:val="20"/>
                <w:szCs w:val="16"/>
              </w:rPr>
              <w:t xml:space="preserve">Thorough and clearly articulated overview of the reasons for maintaining continuity of religious beliefs </w:t>
            </w:r>
          </w:p>
        </w:tc>
        <w:tc>
          <w:tcPr>
            <w:tcW w:w="786" w:type="pct"/>
          </w:tcPr>
          <w:p w:rsidR="008523AC" w:rsidRPr="00173337" w:rsidRDefault="008523AC" w:rsidP="00173337">
            <w:pPr>
              <w:pStyle w:val="NormalBullet"/>
              <w:numPr>
                <w:ilvl w:val="0"/>
                <w:numId w:val="0"/>
              </w:numPr>
              <w:spacing w:before="0"/>
              <w:rPr>
                <w:sz w:val="20"/>
                <w:szCs w:val="16"/>
              </w:rPr>
            </w:pPr>
            <w:r w:rsidRPr="00173337">
              <w:rPr>
                <w:sz w:val="20"/>
                <w:szCs w:val="16"/>
              </w:rPr>
              <w:t xml:space="preserve">Highly developed and precisely articulated overview of the reasons for maintaining continuity of religious beliefs </w:t>
            </w:r>
          </w:p>
        </w:tc>
      </w:tr>
      <w:tr w:rsidR="008523AC" w:rsidRPr="00173337" w:rsidTr="00173337">
        <w:tc>
          <w:tcPr>
            <w:tcW w:w="732" w:type="pct"/>
          </w:tcPr>
          <w:p w:rsidR="008523AC" w:rsidRPr="00173337" w:rsidRDefault="008523AC" w:rsidP="008523AC">
            <w:pPr>
              <w:pStyle w:val="NormalBullet"/>
              <w:numPr>
                <w:ilvl w:val="0"/>
                <w:numId w:val="0"/>
              </w:numPr>
              <w:tabs>
                <w:tab w:val="clear" w:pos="397"/>
                <w:tab w:val="left" w:pos="360"/>
              </w:tabs>
              <w:rPr>
                <w:sz w:val="20"/>
                <w:szCs w:val="16"/>
              </w:rPr>
            </w:pPr>
            <w:r w:rsidRPr="00173337">
              <w:rPr>
                <w:sz w:val="20"/>
                <w:szCs w:val="16"/>
              </w:rPr>
              <w:t>describe internal and external factors which promote action to maintain continuity of religious belief/s</w:t>
            </w:r>
          </w:p>
          <w:p w:rsidR="008523AC" w:rsidRPr="00173337" w:rsidRDefault="008523AC" w:rsidP="008523AC">
            <w:pPr>
              <w:pStyle w:val="NormalBullet"/>
              <w:numPr>
                <w:ilvl w:val="0"/>
                <w:numId w:val="0"/>
              </w:numPr>
              <w:tabs>
                <w:tab w:val="clear" w:pos="397"/>
              </w:tabs>
              <w:spacing w:before="40"/>
              <w:rPr>
                <w:sz w:val="20"/>
                <w:szCs w:val="16"/>
              </w:rPr>
            </w:pPr>
          </w:p>
        </w:tc>
        <w:tc>
          <w:tcPr>
            <w:tcW w:w="244" w:type="pct"/>
            <w:vAlign w:val="center"/>
          </w:tcPr>
          <w:p w:rsidR="008523AC" w:rsidRPr="00173337" w:rsidRDefault="008523AC" w:rsidP="008523AC">
            <w:pPr>
              <w:pStyle w:val="NormalBullet"/>
              <w:numPr>
                <w:ilvl w:val="0"/>
                <w:numId w:val="0"/>
              </w:numPr>
              <w:spacing w:before="40"/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754" w:type="pct"/>
          </w:tcPr>
          <w:p w:rsidR="008523AC" w:rsidRPr="00173337" w:rsidRDefault="008523AC" w:rsidP="008523AC">
            <w:pPr>
              <w:pStyle w:val="NormalBullet"/>
              <w:numPr>
                <w:ilvl w:val="0"/>
                <w:numId w:val="0"/>
              </w:numPr>
              <w:spacing w:before="0"/>
              <w:rPr>
                <w:sz w:val="20"/>
                <w:szCs w:val="16"/>
              </w:rPr>
            </w:pPr>
            <w:r w:rsidRPr="00173337">
              <w:rPr>
                <w:sz w:val="20"/>
                <w:szCs w:val="16"/>
              </w:rPr>
              <w:t>A partial naming of factors that promote action to maintain continuity of religious belief/s, with limited accurate reference to them as internal or external factors.</w:t>
            </w:r>
          </w:p>
        </w:tc>
        <w:tc>
          <w:tcPr>
            <w:tcW w:w="828" w:type="pct"/>
          </w:tcPr>
          <w:p w:rsidR="008523AC" w:rsidRPr="00173337" w:rsidRDefault="008523AC" w:rsidP="008523AC">
            <w:pPr>
              <w:pStyle w:val="NormalBullet"/>
              <w:numPr>
                <w:ilvl w:val="0"/>
                <w:numId w:val="0"/>
              </w:numPr>
              <w:spacing w:before="0"/>
              <w:rPr>
                <w:sz w:val="20"/>
                <w:szCs w:val="16"/>
              </w:rPr>
            </w:pPr>
            <w:r w:rsidRPr="00173337">
              <w:rPr>
                <w:sz w:val="20"/>
                <w:szCs w:val="16"/>
              </w:rPr>
              <w:t>Some descriptive detail supporting a limited range of internal and external factors that promote action to maintain continuity of religious belief/s.</w:t>
            </w:r>
          </w:p>
        </w:tc>
        <w:tc>
          <w:tcPr>
            <w:tcW w:w="828" w:type="pct"/>
          </w:tcPr>
          <w:p w:rsidR="008523AC" w:rsidRPr="00173337" w:rsidRDefault="008523AC" w:rsidP="008523AC">
            <w:pPr>
              <w:pStyle w:val="NormalBullet"/>
              <w:numPr>
                <w:ilvl w:val="0"/>
                <w:numId w:val="0"/>
              </w:numPr>
              <w:spacing w:before="0"/>
              <w:rPr>
                <w:sz w:val="20"/>
                <w:szCs w:val="16"/>
              </w:rPr>
            </w:pPr>
            <w:r w:rsidRPr="00173337">
              <w:rPr>
                <w:sz w:val="20"/>
                <w:szCs w:val="16"/>
              </w:rPr>
              <w:t>Clear description with partially detailed characteristics of the type of internal and external factors that promote action to maintain continuity of religious belief/s.</w:t>
            </w:r>
          </w:p>
        </w:tc>
        <w:tc>
          <w:tcPr>
            <w:tcW w:w="828" w:type="pct"/>
          </w:tcPr>
          <w:p w:rsidR="008523AC" w:rsidRPr="00173337" w:rsidRDefault="008523AC" w:rsidP="008523AC">
            <w:pPr>
              <w:pStyle w:val="NormalBullet"/>
              <w:numPr>
                <w:ilvl w:val="0"/>
                <w:numId w:val="0"/>
              </w:numPr>
              <w:spacing w:before="0"/>
              <w:rPr>
                <w:sz w:val="20"/>
                <w:szCs w:val="16"/>
              </w:rPr>
            </w:pPr>
            <w:r w:rsidRPr="00173337">
              <w:rPr>
                <w:sz w:val="20"/>
                <w:szCs w:val="16"/>
              </w:rPr>
              <w:t>Extensive or substantial description with detailed characteristics of the type of internal and external factors that promote action to maintain continuity of religious belief/s.</w:t>
            </w:r>
          </w:p>
        </w:tc>
        <w:tc>
          <w:tcPr>
            <w:tcW w:w="786" w:type="pct"/>
          </w:tcPr>
          <w:p w:rsidR="008523AC" w:rsidRPr="00173337" w:rsidRDefault="008523AC" w:rsidP="008523AC">
            <w:pPr>
              <w:pStyle w:val="NormalBullet"/>
              <w:numPr>
                <w:ilvl w:val="0"/>
                <w:numId w:val="0"/>
              </w:numPr>
              <w:spacing w:before="0"/>
              <w:rPr>
                <w:sz w:val="20"/>
                <w:szCs w:val="16"/>
              </w:rPr>
            </w:pPr>
            <w:r w:rsidRPr="00173337">
              <w:rPr>
                <w:sz w:val="20"/>
                <w:szCs w:val="16"/>
              </w:rPr>
              <w:t>Comprehensive description with detailed characteristics of the type of internal and external factors that promote action to maintain continuity of religious belief/s.</w:t>
            </w:r>
          </w:p>
        </w:tc>
      </w:tr>
      <w:tr w:rsidR="008523AC" w:rsidRPr="00173337" w:rsidTr="00173337">
        <w:tc>
          <w:tcPr>
            <w:tcW w:w="732" w:type="pct"/>
          </w:tcPr>
          <w:p w:rsidR="008523AC" w:rsidRPr="00173337" w:rsidRDefault="008523AC" w:rsidP="008523AC">
            <w:pPr>
              <w:pStyle w:val="NormalBullet"/>
              <w:numPr>
                <w:ilvl w:val="0"/>
                <w:numId w:val="0"/>
              </w:numPr>
              <w:tabs>
                <w:tab w:val="clear" w:pos="397"/>
                <w:tab w:val="left" w:pos="360"/>
              </w:tabs>
              <w:spacing w:before="40"/>
              <w:rPr>
                <w:sz w:val="20"/>
                <w:szCs w:val="16"/>
              </w:rPr>
            </w:pPr>
            <w:proofErr w:type="spellStart"/>
            <w:r w:rsidRPr="00173337">
              <w:rPr>
                <w:sz w:val="20"/>
                <w:szCs w:val="16"/>
              </w:rPr>
              <w:t>analyse</w:t>
            </w:r>
            <w:proofErr w:type="spellEnd"/>
            <w:r w:rsidRPr="00173337">
              <w:rPr>
                <w:sz w:val="20"/>
                <w:szCs w:val="16"/>
              </w:rPr>
              <w:t xml:space="preserve"> the ways of maintaining continuity of religious belief/s</w:t>
            </w:r>
          </w:p>
        </w:tc>
        <w:tc>
          <w:tcPr>
            <w:tcW w:w="244" w:type="pct"/>
            <w:vAlign w:val="center"/>
          </w:tcPr>
          <w:p w:rsidR="008523AC" w:rsidRPr="00173337" w:rsidRDefault="008523AC" w:rsidP="008523AC">
            <w:pPr>
              <w:pStyle w:val="NormalBullet"/>
              <w:numPr>
                <w:ilvl w:val="0"/>
                <w:numId w:val="0"/>
              </w:numPr>
              <w:spacing w:before="40"/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754" w:type="pct"/>
          </w:tcPr>
          <w:p w:rsidR="008523AC" w:rsidRPr="00173337" w:rsidRDefault="008523AC" w:rsidP="008523AC">
            <w:pPr>
              <w:pStyle w:val="NormalBullet"/>
              <w:numPr>
                <w:ilvl w:val="0"/>
                <w:numId w:val="0"/>
              </w:numPr>
              <w:spacing w:before="0"/>
              <w:rPr>
                <w:sz w:val="20"/>
                <w:szCs w:val="16"/>
              </w:rPr>
            </w:pPr>
            <w:r w:rsidRPr="00173337">
              <w:rPr>
                <w:sz w:val="20"/>
                <w:szCs w:val="16"/>
              </w:rPr>
              <w:t>Offers very limited detail or understanding of the ways of maintaining continuity of religious belief/s.</w:t>
            </w:r>
          </w:p>
        </w:tc>
        <w:tc>
          <w:tcPr>
            <w:tcW w:w="828" w:type="pct"/>
          </w:tcPr>
          <w:p w:rsidR="008523AC" w:rsidRPr="00173337" w:rsidRDefault="008523AC" w:rsidP="008523AC">
            <w:pPr>
              <w:pStyle w:val="NormalBullet"/>
              <w:numPr>
                <w:ilvl w:val="0"/>
                <w:numId w:val="0"/>
              </w:numPr>
              <w:spacing w:before="0"/>
              <w:rPr>
                <w:sz w:val="20"/>
                <w:szCs w:val="16"/>
              </w:rPr>
            </w:pPr>
            <w:r w:rsidRPr="00173337">
              <w:rPr>
                <w:sz w:val="20"/>
                <w:szCs w:val="16"/>
              </w:rPr>
              <w:t>Provides some detail, without necessarily differentiating between, the ways of maintaining continuity of religious belief/s.</w:t>
            </w:r>
          </w:p>
        </w:tc>
        <w:tc>
          <w:tcPr>
            <w:tcW w:w="828" w:type="pct"/>
          </w:tcPr>
          <w:p w:rsidR="008523AC" w:rsidRPr="00173337" w:rsidRDefault="008523AC" w:rsidP="008523AC">
            <w:pPr>
              <w:pStyle w:val="NormalBullet"/>
              <w:numPr>
                <w:ilvl w:val="0"/>
                <w:numId w:val="0"/>
              </w:numPr>
              <w:spacing w:before="0"/>
              <w:rPr>
                <w:sz w:val="20"/>
                <w:szCs w:val="16"/>
              </w:rPr>
            </w:pPr>
            <w:r w:rsidRPr="00173337">
              <w:rPr>
                <w:sz w:val="20"/>
                <w:szCs w:val="16"/>
              </w:rPr>
              <w:t>Demonstrates some accurate analysis of the ways of maintaining continuity of religious belief/s.</w:t>
            </w:r>
          </w:p>
        </w:tc>
        <w:tc>
          <w:tcPr>
            <w:tcW w:w="828" w:type="pct"/>
          </w:tcPr>
          <w:p w:rsidR="008523AC" w:rsidRPr="00173337" w:rsidRDefault="008523AC" w:rsidP="008523AC">
            <w:pPr>
              <w:pStyle w:val="NormalBullet"/>
              <w:numPr>
                <w:ilvl w:val="0"/>
                <w:numId w:val="0"/>
              </w:numPr>
              <w:spacing w:before="0"/>
              <w:rPr>
                <w:sz w:val="20"/>
                <w:szCs w:val="16"/>
              </w:rPr>
            </w:pPr>
            <w:r w:rsidRPr="00173337">
              <w:rPr>
                <w:sz w:val="20"/>
                <w:szCs w:val="16"/>
              </w:rPr>
              <w:t>Well-developed and thorough analysis of the ways of maintaining continuity of religious belief/s.</w:t>
            </w:r>
          </w:p>
        </w:tc>
        <w:tc>
          <w:tcPr>
            <w:tcW w:w="786" w:type="pct"/>
          </w:tcPr>
          <w:p w:rsidR="008523AC" w:rsidRPr="00173337" w:rsidRDefault="008523AC" w:rsidP="008523AC">
            <w:pPr>
              <w:pStyle w:val="NormalBullet"/>
              <w:numPr>
                <w:ilvl w:val="0"/>
                <w:numId w:val="0"/>
              </w:numPr>
              <w:spacing w:before="0"/>
              <w:rPr>
                <w:sz w:val="20"/>
                <w:szCs w:val="16"/>
              </w:rPr>
            </w:pPr>
            <w:r w:rsidRPr="00173337">
              <w:rPr>
                <w:sz w:val="20"/>
                <w:szCs w:val="16"/>
              </w:rPr>
              <w:t>Insightful and judicious analysis of the ways of maintaining continuity of religious belief/s.</w:t>
            </w:r>
          </w:p>
        </w:tc>
      </w:tr>
      <w:tr w:rsidR="008523AC" w:rsidRPr="00173337" w:rsidTr="00173337">
        <w:tc>
          <w:tcPr>
            <w:tcW w:w="732" w:type="pct"/>
          </w:tcPr>
          <w:p w:rsidR="008523AC" w:rsidRPr="00173337" w:rsidRDefault="008523AC" w:rsidP="008523AC">
            <w:pPr>
              <w:pStyle w:val="NormalBullet"/>
              <w:numPr>
                <w:ilvl w:val="0"/>
                <w:numId w:val="0"/>
              </w:numPr>
              <w:tabs>
                <w:tab w:val="clear" w:pos="397"/>
                <w:tab w:val="left" w:pos="360"/>
              </w:tabs>
              <w:rPr>
                <w:sz w:val="20"/>
                <w:szCs w:val="16"/>
              </w:rPr>
            </w:pPr>
            <w:proofErr w:type="gramStart"/>
            <w:r w:rsidRPr="00173337">
              <w:rPr>
                <w:sz w:val="20"/>
                <w:szCs w:val="16"/>
              </w:rPr>
              <w:t>interpret</w:t>
            </w:r>
            <w:proofErr w:type="gramEnd"/>
            <w:r w:rsidRPr="00173337">
              <w:rPr>
                <w:sz w:val="20"/>
                <w:szCs w:val="16"/>
              </w:rPr>
              <w:t xml:space="preserve"> and </w:t>
            </w:r>
            <w:proofErr w:type="spellStart"/>
            <w:r w:rsidRPr="00173337">
              <w:rPr>
                <w:sz w:val="20"/>
                <w:szCs w:val="16"/>
              </w:rPr>
              <w:t>synthesise</w:t>
            </w:r>
            <w:proofErr w:type="spellEnd"/>
            <w:r w:rsidRPr="00173337">
              <w:rPr>
                <w:sz w:val="20"/>
                <w:szCs w:val="16"/>
              </w:rPr>
              <w:t xml:space="preserve"> source material.</w:t>
            </w:r>
          </w:p>
          <w:p w:rsidR="008523AC" w:rsidRPr="00173337" w:rsidRDefault="008523AC" w:rsidP="008523AC">
            <w:pPr>
              <w:pStyle w:val="NormalBullet"/>
              <w:numPr>
                <w:ilvl w:val="0"/>
                <w:numId w:val="0"/>
              </w:numPr>
              <w:tabs>
                <w:tab w:val="clear" w:pos="397"/>
              </w:tabs>
              <w:spacing w:before="40"/>
              <w:rPr>
                <w:sz w:val="20"/>
                <w:szCs w:val="16"/>
              </w:rPr>
            </w:pPr>
          </w:p>
        </w:tc>
        <w:tc>
          <w:tcPr>
            <w:tcW w:w="244" w:type="pct"/>
            <w:vAlign w:val="center"/>
          </w:tcPr>
          <w:p w:rsidR="008523AC" w:rsidRPr="00173337" w:rsidRDefault="008523AC" w:rsidP="008523AC">
            <w:pPr>
              <w:pStyle w:val="NormalBullet"/>
              <w:numPr>
                <w:ilvl w:val="0"/>
                <w:numId w:val="0"/>
              </w:numPr>
              <w:spacing w:before="40"/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754" w:type="pct"/>
          </w:tcPr>
          <w:p w:rsidR="008523AC" w:rsidRPr="00173337" w:rsidRDefault="008523AC" w:rsidP="008523AC">
            <w:pPr>
              <w:pStyle w:val="NormalBullet"/>
              <w:numPr>
                <w:ilvl w:val="0"/>
                <w:numId w:val="0"/>
              </w:numPr>
              <w:spacing w:before="0"/>
              <w:rPr>
                <w:sz w:val="20"/>
                <w:szCs w:val="16"/>
              </w:rPr>
            </w:pPr>
            <w:r w:rsidRPr="00173337">
              <w:rPr>
                <w:sz w:val="20"/>
                <w:szCs w:val="16"/>
              </w:rPr>
              <w:t>Little reference to source material.</w:t>
            </w:r>
          </w:p>
        </w:tc>
        <w:tc>
          <w:tcPr>
            <w:tcW w:w="828" w:type="pct"/>
          </w:tcPr>
          <w:p w:rsidR="008523AC" w:rsidRPr="00173337" w:rsidRDefault="008523AC" w:rsidP="008523AC">
            <w:pPr>
              <w:spacing w:before="0"/>
              <w:rPr>
                <w:sz w:val="20"/>
                <w:szCs w:val="16"/>
              </w:rPr>
            </w:pPr>
            <w:r w:rsidRPr="00173337">
              <w:rPr>
                <w:sz w:val="20"/>
                <w:szCs w:val="16"/>
              </w:rPr>
              <w:t>Demonstrates limited reference to and use of source material.</w:t>
            </w:r>
          </w:p>
          <w:p w:rsidR="008523AC" w:rsidRPr="00173337" w:rsidRDefault="008523AC" w:rsidP="008523AC">
            <w:pPr>
              <w:pStyle w:val="NormalBullet"/>
              <w:numPr>
                <w:ilvl w:val="0"/>
                <w:numId w:val="0"/>
              </w:numPr>
              <w:spacing w:before="0"/>
              <w:rPr>
                <w:sz w:val="20"/>
                <w:szCs w:val="16"/>
              </w:rPr>
            </w:pPr>
          </w:p>
        </w:tc>
        <w:tc>
          <w:tcPr>
            <w:tcW w:w="828" w:type="pct"/>
          </w:tcPr>
          <w:p w:rsidR="008523AC" w:rsidRPr="00173337" w:rsidRDefault="008523AC" w:rsidP="008523AC">
            <w:pPr>
              <w:spacing w:before="0"/>
              <w:rPr>
                <w:sz w:val="20"/>
                <w:szCs w:val="16"/>
              </w:rPr>
            </w:pPr>
            <w:r w:rsidRPr="00173337">
              <w:rPr>
                <w:sz w:val="20"/>
                <w:szCs w:val="16"/>
              </w:rPr>
              <w:t>Generally appropriate selection and application of source material.</w:t>
            </w:r>
          </w:p>
          <w:p w:rsidR="008523AC" w:rsidRPr="00173337" w:rsidRDefault="008523AC" w:rsidP="008523AC">
            <w:pPr>
              <w:pStyle w:val="NormalBullet"/>
              <w:numPr>
                <w:ilvl w:val="0"/>
                <w:numId w:val="0"/>
              </w:numPr>
              <w:spacing w:before="0"/>
              <w:rPr>
                <w:sz w:val="20"/>
                <w:szCs w:val="16"/>
              </w:rPr>
            </w:pPr>
          </w:p>
        </w:tc>
        <w:tc>
          <w:tcPr>
            <w:tcW w:w="828" w:type="pct"/>
          </w:tcPr>
          <w:p w:rsidR="008523AC" w:rsidRPr="00173337" w:rsidRDefault="008523AC" w:rsidP="008523AC">
            <w:pPr>
              <w:pStyle w:val="NormalBullet"/>
              <w:numPr>
                <w:ilvl w:val="0"/>
                <w:numId w:val="0"/>
              </w:numPr>
              <w:spacing w:before="0"/>
              <w:rPr>
                <w:sz w:val="20"/>
                <w:szCs w:val="16"/>
              </w:rPr>
            </w:pPr>
            <w:r w:rsidRPr="00173337">
              <w:rPr>
                <w:sz w:val="20"/>
                <w:szCs w:val="16"/>
              </w:rPr>
              <w:t>Careful selection, coherent synthesis and consistent application of source material.</w:t>
            </w:r>
          </w:p>
          <w:p w:rsidR="008523AC" w:rsidRPr="00173337" w:rsidRDefault="008523AC" w:rsidP="008523AC">
            <w:pPr>
              <w:pStyle w:val="NormalBullet"/>
              <w:numPr>
                <w:ilvl w:val="0"/>
                <w:numId w:val="0"/>
              </w:numPr>
              <w:spacing w:before="0"/>
              <w:rPr>
                <w:sz w:val="20"/>
                <w:szCs w:val="16"/>
              </w:rPr>
            </w:pPr>
          </w:p>
        </w:tc>
        <w:tc>
          <w:tcPr>
            <w:tcW w:w="786" w:type="pct"/>
          </w:tcPr>
          <w:p w:rsidR="008523AC" w:rsidRPr="00173337" w:rsidRDefault="008523AC" w:rsidP="008523AC">
            <w:pPr>
              <w:pStyle w:val="NormalBullet"/>
              <w:numPr>
                <w:ilvl w:val="0"/>
                <w:numId w:val="0"/>
              </w:numPr>
              <w:spacing w:before="0"/>
              <w:rPr>
                <w:sz w:val="20"/>
                <w:szCs w:val="16"/>
              </w:rPr>
            </w:pPr>
            <w:r w:rsidRPr="00173337">
              <w:rPr>
                <w:sz w:val="20"/>
                <w:szCs w:val="16"/>
              </w:rPr>
              <w:t>Comprehensive selection, highly developed synthesis and consistent application of source material.</w:t>
            </w:r>
          </w:p>
        </w:tc>
      </w:tr>
    </w:tbl>
    <w:p w:rsidR="00173337" w:rsidRDefault="00173337" w:rsidP="00173337">
      <w:pPr>
        <w:pStyle w:val="Heading1"/>
        <w:numPr>
          <w:ilvl w:val="0"/>
          <w:numId w:val="0"/>
        </w:numPr>
        <w:ind w:left="432"/>
        <w:sectPr w:rsidR="00173337" w:rsidSect="00173337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173337" w:rsidRDefault="00173337" w:rsidP="00173337">
      <w:pPr>
        <w:pStyle w:val="Heading1"/>
        <w:numPr>
          <w:ilvl w:val="0"/>
          <w:numId w:val="0"/>
        </w:numPr>
        <w:ind w:left="432"/>
      </w:pPr>
      <w:bookmarkStart w:id="0" w:name="_GoBack"/>
      <w:bookmarkEnd w:id="0"/>
    </w:p>
    <w:p w:rsidR="00173337" w:rsidRPr="0008603A" w:rsidRDefault="00173337" w:rsidP="00173337">
      <w:pPr>
        <w:pStyle w:val="Heading1"/>
      </w:pPr>
      <w:r w:rsidRPr="0008603A">
        <w:t>INTRODUCTION</w:t>
      </w:r>
    </w:p>
    <w:p w:rsidR="00173337" w:rsidRPr="0008603A" w:rsidRDefault="00173337" w:rsidP="00173337">
      <w:pPr>
        <w:pStyle w:val="Heading2"/>
        <w:numPr>
          <w:ilvl w:val="0"/>
          <w:numId w:val="0"/>
        </w:numPr>
      </w:pPr>
      <w:r w:rsidRPr="0008603A">
        <w:t>The maintenance of continuity of beliefs is core business in religious traditions</w:t>
      </w:r>
      <w:r>
        <w:t>….</w:t>
      </w:r>
    </w:p>
    <w:p w:rsidR="00173337" w:rsidRDefault="00173337" w:rsidP="00173337">
      <w:pPr>
        <w:rPr>
          <w:rFonts w:ascii="Arial" w:hAnsi="Arial" w:cs="Arial"/>
          <w:color w:val="666666"/>
        </w:rPr>
      </w:pPr>
    </w:p>
    <w:p w:rsidR="00173337" w:rsidRPr="0008603A" w:rsidRDefault="00173337" w:rsidP="00173337">
      <w:pPr>
        <w:pStyle w:val="Heading1"/>
      </w:pPr>
      <w:r w:rsidRPr="0008603A">
        <w:t>MAIN TEXT</w:t>
      </w:r>
    </w:p>
    <w:p w:rsidR="00173337" w:rsidRPr="001E5A95" w:rsidRDefault="00173337" w:rsidP="00173337">
      <w:pPr>
        <w:pStyle w:val="Heading2"/>
      </w:pPr>
      <w:r w:rsidRPr="001E5A95">
        <w:t xml:space="preserve">The </w:t>
      </w:r>
      <w:r w:rsidRPr="001E5A95">
        <w:rPr>
          <w:rStyle w:val="Strong"/>
          <w:rFonts w:ascii="Arial" w:hAnsi="Arial" w:cs="Arial"/>
          <w:color w:val="666666"/>
        </w:rPr>
        <w:t>reasons for maintaining continuity of religious beliefs</w:t>
      </w:r>
      <w:r w:rsidRPr="001E5A95">
        <w:t xml:space="preserve"> include an </w:t>
      </w:r>
      <w:proofErr w:type="spellStart"/>
      <w:r w:rsidRPr="001E5A95">
        <w:t>honoring</w:t>
      </w:r>
      <w:proofErr w:type="spellEnd"/>
      <w:r w:rsidRPr="001E5A95">
        <w:t xml:space="preserve"> of the past, providing a focus for the present and a hope for the future. …..</w:t>
      </w:r>
    </w:p>
    <w:p w:rsidR="00173337" w:rsidRDefault="00173337" w:rsidP="00173337">
      <w:pPr>
        <w:pStyle w:val="Heading3"/>
      </w:pPr>
      <w:r w:rsidRPr="0008603A">
        <w:t xml:space="preserve">In the case of the Roman Catholic belief in the resurrection </w:t>
      </w:r>
      <w:r>
        <w:t>reasons from the past include</w:t>
      </w:r>
      <w:r w:rsidRPr="0008603A">
        <w:t xml:space="preserve">… </w:t>
      </w:r>
    </w:p>
    <w:p w:rsidR="00173337" w:rsidRPr="0008603A" w:rsidRDefault="00173337" w:rsidP="00173337">
      <w:pPr>
        <w:pStyle w:val="Heading3"/>
      </w:pPr>
      <w:r w:rsidRPr="0008603A">
        <w:t xml:space="preserve">In the case of the Roman Catholic belief in the resurrection </w:t>
      </w:r>
      <w:r>
        <w:t xml:space="preserve">reasons from the present include </w:t>
      </w:r>
      <w:r w:rsidRPr="0008603A">
        <w:t xml:space="preserve">… </w:t>
      </w:r>
    </w:p>
    <w:p w:rsidR="00173337" w:rsidRDefault="00173337" w:rsidP="00173337">
      <w:pPr>
        <w:pStyle w:val="Heading3"/>
      </w:pPr>
      <w:r w:rsidRPr="0008603A">
        <w:t xml:space="preserve">In the case of the Roman Catholic belief in the resurrection </w:t>
      </w:r>
      <w:r>
        <w:t xml:space="preserve">reasons concerning the </w:t>
      </w:r>
      <w:proofErr w:type="gramStart"/>
      <w:r>
        <w:t xml:space="preserve">future  </w:t>
      </w:r>
      <w:r w:rsidRPr="0008603A">
        <w:t>…</w:t>
      </w:r>
      <w:proofErr w:type="gramEnd"/>
      <w:r w:rsidRPr="0008603A">
        <w:t xml:space="preserve"> </w:t>
      </w:r>
    </w:p>
    <w:p w:rsidR="00173337" w:rsidRPr="0008603A" w:rsidRDefault="00173337" w:rsidP="00173337">
      <w:pPr>
        <w:pStyle w:val="Heading2"/>
      </w:pPr>
      <w:r w:rsidRPr="0008603A">
        <w:t>There are</w:t>
      </w:r>
      <w:r w:rsidRPr="0008603A">
        <w:rPr>
          <w:rStyle w:val="Strong"/>
          <w:rFonts w:ascii="Arial" w:hAnsi="Arial" w:cs="Arial"/>
          <w:color w:val="666666"/>
        </w:rPr>
        <w:t xml:space="preserve"> internal and external factors</w:t>
      </w:r>
      <w:r w:rsidRPr="0008603A">
        <w:t xml:space="preserve"> that can promote action to maintain continuity of these beliefs. </w:t>
      </w:r>
    </w:p>
    <w:p w:rsidR="00173337" w:rsidRPr="0008603A" w:rsidRDefault="00173337" w:rsidP="00173337">
      <w:pPr>
        <w:pStyle w:val="Heading3"/>
      </w:pPr>
      <w:r w:rsidRPr="0008603A">
        <w:t xml:space="preserve">In the case of the Roman Catholic belief in the resurrection </w:t>
      </w:r>
      <w:r>
        <w:t xml:space="preserve">external factors that </w:t>
      </w:r>
      <w:r w:rsidRPr="0008603A">
        <w:t xml:space="preserve">can promote action to maintain continuity … </w:t>
      </w:r>
    </w:p>
    <w:p w:rsidR="00173337" w:rsidRPr="0008603A" w:rsidRDefault="00173337" w:rsidP="00173337">
      <w:pPr>
        <w:pStyle w:val="Heading3"/>
      </w:pPr>
      <w:r w:rsidRPr="0008603A">
        <w:t xml:space="preserve">In the case of the Roman Catholic belief in the resurrection </w:t>
      </w:r>
      <w:r>
        <w:t xml:space="preserve">internal factors that </w:t>
      </w:r>
      <w:r w:rsidRPr="0008603A">
        <w:t xml:space="preserve">can promote action to maintain continuity … </w:t>
      </w:r>
    </w:p>
    <w:p w:rsidR="00173337" w:rsidRPr="0008603A" w:rsidRDefault="00173337" w:rsidP="00173337">
      <w:pPr>
        <w:pStyle w:val="Heading2"/>
      </w:pPr>
      <w:r w:rsidRPr="0008603A">
        <w:t xml:space="preserve">Religious traditions employ a number of </w:t>
      </w:r>
      <w:r w:rsidRPr="0008603A">
        <w:rPr>
          <w:rStyle w:val="Strong"/>
          <w:rFonts w:ascii="Arial" w:hAnsi="Arial" w:cs="Arial"/>
          <w:color w:val="666666"/>
        </w:rPr>
        <w:t>approaches to maintaining continuity of religious beliefs</w:t>
      </w:r>
      <w:r w:rsidRPr="0008603A">
        <w:t xml:space="preserve"> in response to internal and external factors. </w:t>
      </w:r>
      <w:r>
        <w:t>Naming the four</w:t>
      </w:r>
    </w:p>
    <w:p w:rsidR="00173337" w:rsidRPr="001E5A95" w:rsidRDefault="00173337" w:rsidP="00173337">
      <w:pPr>
        <w:pStyle w:val="Heading3"/>
      </w:pPr>
      <w:r>
        <w:t xml:space="preserve">Restating beliefs: </w:t>
      </w:r>
      <w:r w:rsidRPr="001E5A95">
        <w:t xml:space="preserve">In the case of the Roman Catholic belief in the resurrection the Catholic Church has … </w:t>
      </w:r>
    </w:p>
    <w:p w:rsidR="00173337" w:rsidRPr="001E5A95" w:rsidRDefault="00173337" w:rsidP="00173337">
      <w:pPr>
        <w:pStyle w:val="Heading3"/>
      </w:pPr>
      <w:r>
        <w:t xml:space="preserve">Reapplying beliefs in a new circumstance: </w:t>
      </w:r>
      <w:r w:rsidRPr="001E5A95">
        <w:t xml:space="preserve">In the case of the Roman Catholic belief in the resurrection the Catholic Church has … </w:t>
      </w:r>
    </w:p>
    <w:p w:rsidR="00173337" w:rsidRPr="001E5A95" w:rsidRDefault="00173337" w:rsidP="00173337">
      <w:pPr>
        <w:pStyle w:val="Heading3"/>
      </w:pPr>
      <w:r>
        <w:t xml:space="preserve">Reinterpreting beliefs in a new circumstance: </w:t>
      </w:r>
      <w:r w:rsidRPr="001E5A95">
        <w:t xml:space="preserve">In the case of the Roman Catholic belief in the resurrection the Catholic Church has … </w:t>
      </w:r>
    </w:p>
    <w:p w:rsidR="00173337" w:rsidRPr="001E5A95" w:rsidRDefault="00173337" w:rsidP="00173337">
      <w:pPr>
        <w:pStyle w:val="Heading3"/>
      </w:pPr>
      <w:r>
        <w:t xml:space="preserve">Reformulating beliefs: </w:t>
      </w:r>
      <w:r w:rsidRPr="001E5A95">
        <w:t xml:space="preserve">In the case of the Roman Catholic belief in the resurrection the Catholic Church has … </w:t>
      </w:r>
    </w:p>
    <w:p w:rsidR="00173337" w:rsidRPr="0008603A" w:rsidRDefault="00173337" w:rsidP="00173337">
      <w:pPr>
        <w:pStyle w:val="ListParagraph"/>
        <w:rPr>
          <w:rFonts w:ascii="Arial" w:hAnsi="Arial" w:cs="Arial"/>
          <w:color w:val="666666"/>
        </w:rPr>
      </w:pPr>
    </w:p>
    <w:p w:rsidR="00173337" w:rsidRDefault="00173337" w:rsidP="00173337">
      <w:pPr>
        <w:pStyle w:val="Heading1"/>
      </w:pPr>
      <w:r w:rsidRPr="0008603A">
        <w:t>CONCLUSION</w:t>
      </w:r>
    </w:p>
    <w:p w:rsidR="00173337" w:rsidRPr="001E5A95" w:rsidRDefault="00173337" w:rsidP="00173337"/>
    <w:p w:rsidR="00C640C3" w:rsidRDefault="00C640C3"/>
    <w:sectPr w:rsidR="00C640C3" w:rsidSect="00173337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76 Helvetica BoldItalic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846A85"/>
    <w:multiLevelType w:val="hybridMultilevel"/>
    <w:tmpl w:val="E20699E6"/>
    <w:lvl w:ilvl="0" w:tplc="FFFFFFFF">
      <w:start w:val="1"/>
      <w:numFmt w:val="bullet"/>
      <w:pStyle w:val="Normal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76 Helvetica BoldItalic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76 Helvetica BoldItalic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76 Helvetica BoldItalic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3C1CE3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3AC"/>
    <w:rsid w:val="00173337"/>
    <w:rsid w:val="008523AC"/>
    <w:rsid w:val="00C6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865C8C-4C45-44BD-BBC1-B70FFFF82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3AC"/>
    <w:pPr>
      <w:spacing w:before="180"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3337"/>
    <w:pPr>
      <w:keepNext/>
      <w:keepLines/>
      <w:numPr>
        <w:numId w:val="2"/>
      </w:numPr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3337"/>
    <w:pPr>
      <w:keepNext/>
      <w:keepLines/>
      <w:numPr>
        <w:ilvl w:val="1"/>
        <w:numId w:val="2"/>
      </w:numPr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3337"/>
    <w:pPr>
      <w:keepNext/>
      <w:keepLines/>
      <w:numPr>
        <w:ilvl w:val="2"/>
        <w:numId w:val="2"/>
      </w:numPr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lang w:val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3337"/>
    <w:pPr>
      <w:keepNext/>
      <w:keepLines/>
      <w:numPr>
        <w:ilvl w:val="3"/>
        <w:numId w:val="2"/>
      </w:numPr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22"/>
      <w:lang w:val="en-A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3337"/>
    <w:pPr>
      <w:keepNext/>
      <w:keepLines/>
      <w:numPr>
        <w:ilvl w:val="4"/>
        <w:numId w:val="2"/>
      </w:numPr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2"/>
      <w:lang w:val="en-AU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3337"/>
    <w:pPr>
      <w:keepNext/>
      <w:keepLines/>
      <w:numPr>
        <w:ilvl w:val="5"/>
        <w:numId w:val="2"/>
      </w:numPr>
      <w:spacing w:before="4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Cs w:val="22"/>
      <w:lang w:val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3337"/>
    <w:pPr>
      <w:keepNext/>
      <w:keepLines/>
      <w:numPr>
        <w:ilvl w:val="6"/>
        <w:numId w:val="2"/>
      </w:numPr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2"/>
      <w:lang w:val="en-AU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3337"/>
    <w:pPr>
      <w:keepNext/>
      <w:keepLines/>
      <w:numPr>
        <w:ilvl w:val="7"/>
        <w:numId w:val="2"/>
      </w:numPr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3337"/>
    <w:pPr>
      <w:keepNext/>
      <w:keepLines/>
      <w:numPr>
        <w:ilvl w:val="8"/>
        <w:numId w:val="2"/>
      </w:numPr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ullet">
    <w:name w:val="Normal Bullet"/>
    <w:basedOn w:val="Normal"/>
    <w:rsid w:val="008523AC"/>
    <w:pPr>
      <w:numPr>
        <w:numId w:val="1"/>
      </w:numPr>
      <w:tabs>
        <w:tab w:val="left" w:pos="397"/>
      </w:tabs>
      <w:spacing w:before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333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337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733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733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333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33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333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333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333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333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33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trong">
    <w:name w:val="Strong"/>
    <w:basedOn w:val="DefaultParagraphFont"/>
    <w:uiPriority w:val="22"/>
    <w:qFormat/>
    <w:rsid w:val="00173337"/>
    <w:rPr>
      <w:b/>
      <w:bCs/>
    </w:rPr>
  </w:style>
  <w:style w:type="paragraph" w:styleId="ListParagraph">
    <w:name w:val="List Paragraph"/>
    <w:basedOn w:val="Normal"/>
    <w:uiPriority w:val="34"/>
    <w:qFormat/>
    <w:rsid w:val="00173337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19" baseType="lpstr">
      <vt:lpstr/>
      <vt:lpstr/>
      <vt:lpstr/>
      <vt:lpstr>INTRODUCTION</vt:lpstr>
      <vt:lpstr>    The maintenance of continuity of beliefs is core business in religious tradition</vt:lpstr>
      <vt:lpstr>MAIN TEXT</vt:lpstr>
      <vt:lpstr>    The reasons for maintaining continuity of religious beliefs include an honoring </vt:lpstr>
      <vt:lpstr>        In the case of the Roman Catholic belief in the resurrection reasons from the pa</vt:lpstr>
      <vt:lpstr>        In the case of the Roman Catholic belief in the resurrection reasons from the pr</vt:lpstr>
      <vt:lpstr>        In the case of the Roman Catholic belief in the resurrection reasons concerning </vt:lpstr>
      <vt:lpstr>    There are internal and external factors that can promote action to maintain cont</vt:lpstr>
      <vt:lpstr>        In the case of the Roman Catholic belief in the resurrection external factors th</vt:lpstr>
      <vt:lpstr>        In the case of the Roman Catholic belief in the resurrection internal factors th</vt:lpstr>
      <vt:lpstr>    Religious traditions employ a number of approaches to maintaining continuity of </vt:lpstr>
      <vt:lpstr>        Restating beliefs: In the case of the Roman Catholic belief in the resurrection </vt:lpstr>
      <vt:lpstr>        Reapplying beliefs in a new circumstance: In the case of the Roman Catholic beli</vt:lpstr>
      <vt:lpstr>        Reinterpreting beliefs in a new circumstance: In the case of the Roman Catholic </vt:lpstr>
      <vt:lpstr>        Reformulating beliefs: In the case of the Roman Catholic belief in the resurrect</vt:lpstr>
      <vt:lpstr>CONCLUSION</vt:lpstr>
    </vt:vector>
  </TitlesOfParts>
  <Company/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Haintz</dc:creator>
  <cp:keywords/>
  <dc:description/>
  <cp:lastModifiedBy>Tony Haintz</cp:lastModifiedBy>
  <cp:revision>1</cp:revision>
  <cp:lastPrinted>2014-05-08T01:35:00Z</cp:lastPrinted>
  <dcterms:created xsi:type="dcterms:W3CDTF">2014-05-08T01:31:00Z</dcterms:created>
  <dcterms:modified xsi:type="dcterms:W3CDTF">2014-05-08T01:43:00Z</dcterms:modified>
</cp:coreProperties>
</file>